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36E3" w:rsidRDefault="00AF36E3" w:rsidP="00470E27">
      <w:pPr>
        <w:pStyle w:val="Heading2"/>
      </w:pPr>
      <w:r>
        <w:t>Session plan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59"/>
        <w:gridCol w:w="425"/>
        <w:gridCol w:w="142"/>
        <w:gridCol w:w="850"/>
        <w:gridCol w:w="3696"/>
        <w:gridCol w:w="982"/>
        <w:gridCol w:w="428"/>
        <w:gridCol w:w="1238"/>
      </w:tblGrid>
      <w:tr w:rsidR="00AF36E3" w:rsidTr="009268A8">
        <w:tc>
          <w:tcPr>
            <w:tcW w:w="1526" w:type="dxa"/>
            <w:gridSpan w:val="3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Program</w:t>
            </w:r>
          </w:p>
        </w:tc>
        <w:tc>
          <w:tcPr>
            <w:tcW w:w="7194" w:type="dxa"/>
            <w:gridSpan w:val="5"/>
          </w:tcPr>
          <w:p w:rsidR="00AF36E3" w:rsidRPr="0075215F" w:rsidRDefault="00AF36E3" w:rsidP="009268A8">
            <w:pPr>
              <w:pStyle w:val="TableText"/>
              <w:spacing w:before="80" w:after="80" w:line="240" w:lineRule="auto"/>
              <w:rPr>
                <w:sz w:val="24"/>
                <w:szCs w:val="24"/>
              </w:rPr>
            </w:pPr>
            <w:hyperlink r:id="rId4" w:tooltip="View details for unit code FNSFLT204A" w:history="1">
              <w:r>
                <w:rPr>
                  <w:rStyle w:val="Hyperlink"/>
                  <w:rFonts w:ascii="Verdana" w:hAnsi="Verdana"/>
                  <w:sz w:val="18"/>
                  <w:szCs w:val="18"/>
                </w:rPr>
                <w:t>FNSFLT204A</w:t>
              </w:r>
              <w:r>
                <w:rPr>
                  <w:rStyle w:val="accessibilityonly"/>
                  <w:rFonts w:ascii="Verdana" w:hAnsi="Verdana"/>
                  <w:color w:val="034AF3"/>
                  <w:sz w:val="18"/>
                  <w:szCs w:val="18"/>
                  <w:u w:val="single"/>
                </w:rPr>
                <w:t xml:space="preserve"> - Develop understanding of superannuation</w:t>
              </w:r>
            </w:hyperlink>
          </w:p>
        </w:tc>
      </w:tr>
      <w:tr w:rsidR="00AF36E3" w:rsidTr="009268A8">
        <w:tc>
          <w:tcPr>
            <w:tcW w:w="1526" w:type="dxa"/>
            <w:gridSpan w:val="3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Session title</w:t>
            </w:r>
          </w:p>
        </w:tc>
        <w:tc>
          <w:tcPr>
            <w:tcW w:w="4546" w:type="dxa"/>
            <w:gridSpan w:val="2"/>
          </w:tcPr>
          <w:p w:rsidR="00AF36E3" w:rsidRPr="00AB10F9" w:rsidRDefault="00AF36E3" w:rsidP="009268A8">
            <w:pPr>
              <w:pStyle w:val="TableText"/>
            </w:pPr>
            <w:r>
              <w:t>Superannuation investments and legislation</w:t>
            </w:r>
          </w:p>
        </w:tc>
        <w:tc>
          <w:tcPr>
            <w:tcW w:w="1410" w:type="dxa"/>
            <w:gridSpan w:val="2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Total time</w:t>
            </w:r>
          </w:p>
        </w:tc>
        <w:tc>
          <w:tcPr>
            <w:tcW w:w="1238" w:type="dxa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1 Hour</w:t>
            </w:r>
          </w:p>
        </w:tc>
      </w:tr>
      <w:tr w:rsidR="00AF36E3" w:rsidTr="009268A8">
        <w:tc>
          <w:tcPr>
            <w:tcW w:w="1526" w:type="dxa"/>
            <w:gridSpan w:val="3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Outcome</w:t>
            </w:r>
          </w:p>
        </w:tc>
        <w:tc>
          <w:tcPr>
            <w:tcW w:w="7194" w:type="dxa"/>
            <w:gridSpan w:val="5"/>
          </w:tcPr>
          <w:p w:rsidR="00AF36E3" w:rsidRDefault="00AF36E3" w:rsidP="004D2E8D">
            <w:pPr>
              <w:pStyle w:val="Tablehangingindent1"/>
              <w:spacing w:before="80" w:after="80" w:line="240" w:lineRule="auto"/>
            </w:pPr>
            <w:r>
              <w:t>To be able to clearly explain the different types of investments, the investment life cycle of superannuation and the governing bodies.</w:t>
            </w:r>
          </w:p>
        </w:tc>
      </w:tr>
      <w:tr w:rsidR="00AF36E3" w:rsidTr="009268A8">
        <w:tc>
          <w:tcPr>
            <w:tcW w:w="1526" w:type="dxa"/>
            <w:gridSpan w:val="3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Resources</w:t>
            </w:r>
          </w:p>
        </w:tc>
        <w:tc>
          <w:tcPr>
            <w:tcW w:w="7194" w:type="dxa"/>
            <w:gridSpan w:val="5"/>
          </w:tcPr>
          <w:p w:rsidR="00AF36E3" w:rsidRDefault="00AF36E3" w:rsidP="009268A8">
            <w:pPr>
              <w:pStyle w:val="TableText"/>
            </w:pPr>
            <w:hyperlink r:id="rId5" w:history="1">
              <w:r w:rsidRPr="00EF5F04">
                <w:rPr>
                  <w:rStyle w:val="Hyperlink"/>
                </w:rPr>
                <w:t>http://www.apra.gov.au/Super/Pages/superannuation-legislation.aspx</w:t>
              </w:r>
            </w:hyperlink>
          </w:p>
          <w:p w:rsidR="00AF36E3" w:rsidRDefault="00AF36E3" w:rsidP="009268A8">
            <w:pPr>
              <w:pStyle w:val="TableText"/>
              <w:rPr>
                <w:rStyle w:val="HTMLCite"/>
                <w:rFonts w:ascii="Arial" w:hAnsi="Arial" w:cs="Arial"/>
              </w:rPr>
            </w:pPr>
            <w:hyperlink r:id="rId6" w:history="1">
              <w:r w:rsidRPr="00EF5F04">
                <w:rPr>
                  <w:rStyle w:val="Hyperlink"/>
                  <w:rFonts w:ascii="Arial" w:hAnsi="Arial" w:cs="Arial"/>
                </w:rPr>
                <w:t>www.ato.gov.au/super/</w:t>
              </w:r>
            </w:hyperlink>
          </w:p>
          <w:p w:rsidR="00AF36E3" w:rsidRDefault="00AF36E3" w:rsidP="009268A8">
            <w:pPr>
              <w:pStyle w:val="Tablehangingindent1"/>
              <w:spacing w:before="80" w:after="80" w:line="240" w:lineRule="auto"/>
            </w:pPr>
            <w:hyperlink r:id="rId7" w:history="1">
              <w:r>
                <w:rPr>
                  <w:rStyle w:val="Hyperlink"/>
                </w:rPr>
                <w:t>http://www.sct.gov.au/</w:t>
              </w:r>
            </w:hyperlink>
          </w:p>
          <w:p w:rsidR="00AF36E3" w:rsidRDefault="00AF36E3" w:rsidP="009268A8">
            <w:pPr>
              <w:pStyle w:val="Tablehangingindent1"/>
              <w:spacing w:before="80" w:after="80" w:line="240" w:lineRule="auto"/>
            </w:pPr>
            <w:hyperlink r:id="rId8" w:history="1">
              <w:r>
                <w:rPr>
                  <w:rStyle w:val="Hyperlink"/>
                </w:rPr>
                <w:t>http://www.asic.gov.au/asic/asic.nsf</w:t>
              </w:r>
            </w:hyperlink>
          </w:p>
          <w:p w:rsidR="00AF36E3" w:rsidRDefault="00AF36E3" w:rsidP="009268A8">
            <w:pPr>
              <w:pStyle w:val="Tablehangingindent1"/>
              <w:spacing w:before="80" w:after="80" w:line="240" w:lineRule="auto"/>
              <w:rPr>
                <w:rStyle w:val="Hyperlink"/>
              </w:rPr>
            </w:pPr>
            <w:hyperlink r:id="rId9" w:history="1">
              <w:r>
                <w:rPr>
                  <w:rStyle w:val="Hyperlink"/>
                </w:rPr>
                <w:t>https://ww</w:t>
              </w:r>
              <w:bookmarkStart w:id="0" w:name="_GoBack"/>
              <w:bookmarkEnd w:id="0"/>
              <w:r>
                <w:rPr>
                  <w:rStyle w:val="Hyperlink"/>
                </w:rPr>
                <w:t>w.moneysmart.gov.au/superannuation-and-retirement/how-super-works/super-investment-options</w:t>
              </w:r>
            </w:hyperlink>
          </w:p>
          <w:p w:rsidR="00AF36E3" w:rsidRDefault="00AF36E3" w:rsidP="009268A8">
            <w:pPr>
              <w:pStyle w:val="Tablehangingindent1"/>
              <w:spacing w:before="80" w:after="80" w:line="240" w:lineRule="auto"/>
            </w:pPr>
            <w:hyperlink r:id="rId10" w:history="1">
              <w:r>
                <w:rPr>
                  <w:rStyle w:val="Hyperlink"/>
                </w:rPr>
                <w:t>http://www.comlaw.gov.au/Details/C2012C00410</w:t>
              </w:r>
            </w:hyperlink>
          </w:p>
          <w:p w:rsidR="00AF36E3" w:rsidRPr="008A16EC" w:rsidRDefault="00AF36E3" w:rsidP="009268A8">
            <w:pPr>
              <w:pStyle w:val="Tablehangingindent1"/>
              <w:spacing w:before="80" w:after="80" w:line="240" w:lineRule="auto"/>
            </w:pPr>
            <w:r>
              <w:t>In house (AMP life limited)</w:t>
            </w:r>
          </w:p>
        </w:tc>
      </w:tr>
      <w:tr w:rsidR="00AF36E3" w:rsidRPr="00A57F76" w:rsidTr="009268A8">
        <w:tc>
          <w:tcPr>
            <w:tcW w:w="8720" w:type="dxa"/>
            <w:gridSpan w:val="8"/>
            <w:tcBorders>
              <w:left w:val="nil"/>
              <w:right w:val="nil"/>
            </w:tcBorders>
          </w:tcPr>
          <w:p w:rsidR="00AF36E3" w:rsidRPr="00501E37" w:rsidRDefault="00AF36E3" w:rsidP="009268A8">
            <w:pPr>
              <w:pStyle w:val="TableHeadReverse"/>
              <w:spacing w:before="80" w:after="80" w:line="240" w:lineRule="auto"/>
              <w:rPr>
                <w:sz w:val="2"/>
                <w:szCs w:val="2"/>
              </w:rPr>
            </w:pPr>
          </w:p>
        </w:tc>
      </w:tr>
      <w:tr w:rsidR="00AF36E3" w:rsidRPr="00564286" w:rsidTr="009268A8">
        <w:tc>
          <w:tcPr>
            <w:tcW w:w="959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  <w:bCs/>
              </w:rPr>
            </w:pPr>
            <w:r w:rsidRPr="00501E37">
              <w:rPr>
                <w:b/>
                <w:bCs/>
              </w:rPr>
              <w:t>Time</w:t>
            </w:r>
          </w:p>
        </w:tc>
        <w:tc>
          <w:tcPr>
            <w:tcW w:w="6095" w:type="dxa"/>
            <w:gridSpan w:val="5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  <w:bCs/>
              </w:rPr>
            </w:pPr>
            <w:r w:rsidRPr="00501E37">
              <w:rPr>
                <w:b/>
                <w:bCs/>
              </w:rPr>
              <w:t>Activities</w:t>
            </w:r>
          </w:p>
        </w:tc>
        <w:tc>
          <w:tcPr>
            <w:tcW w:w="1666" w:type="dxa"/>
            <w:gridSpan w:val="2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  <w:bCs/>
              </w:rPr>
            </w:pPr>
            <w:r w:rsidRPr="00501E37">
              <w:rPr>
                <w:b/>
                <w:bCs/>
              </w:rPr>
              <w:t>Resources</w:t>
            </w:r>
          </w:p>
        </w:tc>
      </w:tr>
      <w:tr w:rsidR="00AF36E3" w:rsidRPr="00564286" w:rsidTr="009268A8">
        <w:tc>
          <w:tcPr>
            <w:tcW w:w="8720" w:type="dxa"/>
            <w:gridSpan w:val="8"/>
            <w:shd w:val="clear" w:color="auto" w:fill="244061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  <w:color w:val="FFFFFF"/>
              </w:rPr>
            </w:pPr>
            <w:r w:rsidRPr="00501E37">
              <w:rPr>
                <w:b/>
                <w:color w:val="FFFFFF"/>
              </w:rPr>
              <w:t>INTRODUCTION</w:t>
            </w:r>
          </w:p>
        </w:tc>
      </w:tr>
      <w:tr w:rsidR="00AF36E3" w:rsidTr="009268A8">
        <w:tc>
          <w:tcPr>
            <w:tcW w:w="959" w:type="dxa"/>
            <w:vMerge w:val="restart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5min’s</w:t>
            </w: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I</w:t>
            </w:r>
          </w:p>
        </w:tc>
        <w:tc>
          <w:tcPr>
            <w:tcW w:w="5670" w:type="dxa"/>
            <w:gridSpan w:val="4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 xml:space="preserve">Interest the learners by doing an Ice breaker activity 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Ball</w:t>
            </w:r>
          </w:p>
        </w:tc>
      </w:tr>
      <w:tr w:rsidR="00AF36E3" w:rsidTr="009268A8">
        <w:tc>
          <w:tcPr>
            <w:tcW w:w="959" w:type="dxa"/>
            <w:vMerge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N</w:t>
            </w:r>
          </w:p>
        </w:tc>
        <w:tc>
          <w:tcPr>
            <w:tcW w:w="5670" w:type="dxa"/>
            <w:gridSpan w:val="4"/>
          </w:tcPr>
          <w:p w:rsidR="00AF36E3" w:rsidRDefault="00AF36E3" w:rsidP="009268A8">
            <w:pPr>
              <w:pStyle w:val="Tablehangingindent1"/>
              <w:spacing w:before="80" w:after="80" w:line="240" w:lineRule="auto"/>
            </w:pPr>
            <w:r>
              <w:t>This is needed to become a Superannuation call centre operator.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hangingindent1"/>
              <w:spacing w:before="80" w:after="80" w:line="240" w:lineRule="auto"/>
            </w:pPr>
          </w:p>
        </w:tc>
      </w:tr>
      <w:tr w:rsidR="00AF36E3" w:rsidTr="009268A8">
        <w:tc>
          <w:tcPr>
            <w:tcW w:w="959" w:type="dxa"/>
            <w:vMerge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T</w:t>
            </w:r>
          </w:p>
        </w:tc>
        <w:tc>
          <w:tcPr>
            <w:tcW w:w="5670" w:type="dxa"/>
            <w:gridSpan w:val="4"/>
          </w:tcPr>
          <w:p w:rsidR="00AF36E3" w:rsidRDefault="00AF36E3" w:rsidP="004D2E8D">
            <w:pPr>
              <w:pStyle w:val="TableText"/>
              <w:spacing w:before="80" w:after="80" w:line="240" w:lineRule="auto"/>
            </w:pPr>
            <w:r>
              <w:t>This season will run for 1 hour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</w:tr>
      <w:tr w:rsidR="00AF36E3" w:rsidTr="009268A8">
        <w:tc>
          <w:tcPr>
            <w:tcW w:w="959" w:type="dxa"/>
            <w:vMerge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R</w:t>
            </w:r>
          </w:p>
        </w:tc>
        <w:tc>
          <w:tcPr>
            <w:tcW w:w="5670" w:type="dxa"/>
            <w:gridSpan w:val="4"/>
          </w:tcPr>
          <w:p w:rsidR="00AF36E3" w:rsidRDefault="00AF36E3" w:rsidP="00AC7F69">
            <w:pPr>
              <w:pStyle w:val="Tablehangingindent1"/>
              <w:spacing w:before="80" w:after="80" w:line="240" w:lineRule="auto"/>
            </w:pPr>
            <w:r>
              <w:t>This completes elements 1.1, 1.3 and 2.3 out of this unit of competency</w:t>
            </w:r>
          </w:p>
        </w:tc>
        <w:tc>
          <w:tcPr>
            <w:tcW w:w="1666" w:type="dxa"/>
            <w:gridSpan w:val="2"/>
            <w:tcBorders>
              <w:left w:val="nil"/>
            </w:tcBorders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</w:tr>
      <w:tr w:rsidR="00AF36E3" w:rsidTr="009268A8">
        <w:tc>
          <w:tcPr>
            <w:tcW w:w="959" w:type="dxa"/>
            <w:vMerge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O</w:t>
            </w:r>
          </w:p>
        </w:tc>
        <w:tc>
          <w:tcPr>
            <w:tcW w:w="5670" w:type="dxa"/>
            <w:gridSpan w:val="4"/>
          </w:tcPr>
          <w:p w:rsidR="00AF36E3" w:rsidRDefault="00AF36E3" w:rsidP="004D2E8D">
            <w:pPr>
              <w:pStyle w:val="TableText"/>
              <w:spacing w:before="80" w:after="80" w:line="240" w:lineRule="auto"/>
            </w:pPr>
            <w:r>
              <w:t>To understand how superannuation is invested and their associated risks, also to know who governs superannuation and what they do.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</w:tr>
      <w:tr w:rsidR="00AF36E3" w:rsidTr="009268A8">
        <w:tc>
          <w:tcPr>
            <w:tcW w:w="959" w:type="dxa"/>
            <w:vMerge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S</w:t>
            </w:r>
          </w:p>
        </w:tc>
        <w:tc>
          <w:tcPr>
            <w:tcW w:w="5670" w:type="dxa"/>
            <w:gridSpan w:val="4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Venue access</w:t>
            </w:r>
          </w:p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 xml:space="preserve">Fire escapes and emergency procedures </w:t>
            </w:r>
          </w:p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Direct to first aid officers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</w:tr>
      <w:tr w:rsidR="00AF36E3" w:rsidRPr="00564286" w:rsidTr="009268A8">
        <w:tc>
          <w:tcPr>
            <w:tcW w:w="8720" w:type="dxa"/>
            <w:gridSpan w:val="8"/>
            <w:shd w:val="clear" w:color="auto" w:fill="244061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  <w:color w:val="FFFFFF"/>
              </w:rPr>
            </w:pPr>
            <w:r w:rsidRPr="00501E37">
              <w:rPr>
                <w:b/>
                <w:color w:val="FFFFFF"/>
              </w:rPr>
              <w:t>BODY</w:t>
            </w:r>
          </w:p>
        </w:tc>
      </w:tr>
      <w:tr w:rsidR="00AF36E3" w:rsidTr="009268A8">
        <w:tc>
          <w:tcPr>
            <w:tcW w:w="959" w:type="dxa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30min’s</w:t>
            </w:r>
          </w:p>
        </w:tc>
        <w:tc>
          <w:tcPr>
            <w:tcW w:w="1417" w:type="dxa"/>
            <w:gridSpan w:val="3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Explain</w:t>
            </w:r>
          </w:p>
        </w:tc>
        <w:tc>
          <w:tcPr>
            <w:tcW w:w="4678" w:type="dxa"/>
            <w:gridSpan w:val="2"/>
          </w:tcPr>
          <w:p w:rsidR="00AF36E3" w:rsidRDefault="00AF36E3" w:rsidP="009268A8">
            <w:pPr>
              <w:pStyle w:val="Tablehangingindent1"/>
              <w:spacing w:before="80" w:after="80" w:line="240" w:lineRule="auto"/>
            </w:pPr>
            <w:r>
              <w:t>Will introduce the governing bodies of superannuation and get the class to do an activity, to get together into groups and each governing bodies website.</w:t>
            </w:r>
          </w:p>
          <w:p w:rsidR="00AF36E3" w:rsidRDefault="00AF36E3" w:rsidP="002C7A5B">
            <w:pPr>
              <w:pStyle w:val="Tablehangingindent1"/>
              <w:spacing w:before="80" w:after="80" w:line="240" w:lineRule="auto"/>
            </w:pPr>
            <w:r>
              <w:t>Will introduce the superannuation investment life cycle.</w:t>
            </w:r>
          </w:p>
          <w:p w:rsidR="00AF36E3" w:rsidRDefault="00AF36E3" w:rsidP="002C7A5B">
            <w:pPr>
              <w:pStyle w:val="Tablehangingindent1"/>
              <w:spacing w:before="80" w:after="80" w:line="240" w:lineRule="auto"/>
            </w:pPr>
            <w:r>
              <w:t>Will introduce the different types of investments and get the class to guess where they belong in the investment life cycle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hangingindent1"/>
              <w:spacing w:before="80" w:after="80" w:line="240" w:lineRule="auto"/>
            </w:pPr>
            <w:r>
              <w:t>Power Point</w:t>
            </w:r>
          </w:p>
          <w:p w:rsidR="00AF36E3" w:rsidRDefault="00AF36E3" w:rsidP="009268A8">
            <w:pPr>
              <w:pStyle w:val="Tablehangingindent1"/>
              <w:spacing w:before="80" w:after="80" w:line="240" w:lineRule="auto"/>
              <w:ind w:left="0" w:firstLine="0"/>
            </w:pPr>
            <w:r>
              <w:t xml:space="preserve">Computer’s for everybody </w:t>
            </w:r>
          </w:p>
          <w:p w:rsidR="00AF36E3" w:rsidRDefault="00AF36E3" w:rsidP="009268A8">
            <w:pPr>
              <w:pStyle w:val="Tablehangingindent1"/>
              <w:spacing w:before="80" w:after="80" w:line="240" w:lineRule="auto"/>
              <w:ind w:left="0" w:firstLine="0"/>
            </w:pPr>
            <w:r>
              <w:t>Projector</w:t>
            </w:r>
          </w:p>
          <w:p w:rsidR="00AF36E3" w:rsidRDefault="00AF36E3" w:rsidP="009268A8">
            <w:pPr>
              <w:pStyle w:val="Tablehangingindent1"/>
              <w:spacing w:before="80" w:after="80" w:line="240" w:lineRule="auto"/>
              <w:ind w:left="0" w:firstLine="0"/>
            </w:pPr>
            <w:r>
              <w:t>Hand outs</w:t>
            </w:r>
          </w:p>
          <w:p w:rsidR="00AF36E3" w:rsidRDefault="00AF36E3" w:rsidP="009268A8">
            <w:pPr>
              <w:pStyle w:val="Tablehangingindent1"/>
              <w:spacing w:before="80" w:after="80" w:line="240" w:lineRule="auto"/>
              <w:ind w:left="0" w:firstLine="0"/>
            </w:pPr>
          </w:p>
        </w:tc>
      </w:tr>
      <w:tr w:rsidR="00AF36E3" w:rsidTr="009268A8">
        <w:tc>
          <w:tcPr>
            <w:tcW w:w="959" w:type="dxa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20min’s</w:t>
            </w:r>
          </w:p>
        </w:tc>
        <w:tc>
          <w:tcPr>
            <w:tcW w:w="1417" w:type="dxa"/>
            <w:gridSpan w:val="3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Apply</w:t>
            </w:r>
          </w:p>
        </w:tc>
        <w:tc>
          <w:tcPr>
            <w:tcW w:w="4678" w:type="dxa"/>
            <w:gridSpan w:val="2"/>
          </w:tcPr>
          <w:p w:rsidR="00AF36E3" w:rsidRDefault="00AF36E3" w:rsidP="008A16EC">
            <w:pPr>
              <w:pStyle w:val="Tablehangingindent1"/>
              <w:spacing w:before="80" w:after="80" w:line="240" w:lineRule="auto"/>
            </w:pPr>
            <w:r>
              <w:t>Will get the class to find the governing bodies of superannuation websites.</w:t>
            </w:r>
          </w:p>
          <w:p w:rsidR="00AF36E3" w:rsidRDefault="00AF36E3" w:rsidP="0088515F">
            <w:pPr>
              <w:pStyle w:val="Tablehangingindent1"/>
              <w:spacing w:before="80" w:after="80" w:line="240" w:lineRule="auto"/>
            </w:pPr>
            <w:r>
              <w:t xml:space="preserve">Will provided cut outs of different Investments and get the class to place them on the white board in their current life stage. </w:t>
            </w:r>
          </w:p>
          <w:p w:rsidR="00AF36E3" w:rsidRDefault="00AF36E3" w:rsidP="0088515F">
            <w:pPr>
              <w:pStyle w:val="Tablehangingindent1"/>
              <w:spacing w:before="80" w:after="80" w:line="240" w:lineRule="auto"/>
            </w:pPr>
            <w:r>
              <w:t>Provide test, not for assessment but to reinforce what has just been learnt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White Board</w:t>
            </w:r>
          </w:p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Hand-out’s</w:t>
            </w:r>
          </w:p>
          <w:p w:rsidR="00AF36E3" w:rsidRDefault="00AF36E3" w:rsidP="00AC7F69">
            <w:pPr>
              <w:pStyle w:val="Tablehangingindent1"/>
              <w:spacing w:before="80" w:after="80" w:line="240" w:lineRule="auto"/>
              <w:ind w:left="0" w:firstLine="0"/>
            </w:pPr>
            <w:r>
              <w:t xml:space="preserve">Computer’s for everybody </w:t>
            </w:r>
          </w:p>
          <w:p w:rsidR="00AF36E3" w:rsidRDefault="00AF36E3" w:rsidP="00AC7F69">
            <w:pPr>
              <w:pStyle w:val="Tablehangingindent1"/>
              <w:spacing w:before="80" w:after="80" w:line="240" w:lineRule="auto"/>
              <w:ind w:left="0" w:firstLine="0"/>
            </w:pPr>
            <w:r>
              <w:t>Lollies</w:t>
            </w:r>
          </w:p>
        </w:tc>
      </w:tr>
      <w:tr w:rsidR="00AF36E3" w:rsidTr="009268A8">
        <w:tc>
          <w:tcPr>
            <w:tcW w:w="959" w:type="dxa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5min’s</w:t>
            </w:r>
          </w:p>
        </w:tc>
        <w:tc>
          <w:tcPr>
            <w:tcW w:w="1417" w:type="dxa"/>
            <w:gridSpan w:val="3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Summarise</w:t>
            </w:r>
          </w:p>
        </w:tc>
        <w:tc>
          <w:tcPr>
            <w:tcW w:w="4678" w:type="dxa"/>
            <w:gridSpan w:val="2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color w:val="A6A6A6"/>
              </w:rPr>
            </w:pPr>
            <w:r>
              <w:t>Check the results of the class exercise and discuss the results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White Board</w:t>
            </w:r>
          </w:p>
          <w:p w:rsidR="00AF36E3" w:rsidRDefault="00AF36E3" w:rsidP="009268A8">
            <w:pPr>
              <w:pStyle w:val="Tablehangingindent1"/>
              <w:spacing w:before="80" w:after="80" w:line="240" w:lineRule="auto"/>
            </w:pPr>
            <w:r>
              <w:t>Power Point</w:t>
            </w:r>
          </w:p>
          <w:p w:rsidR="00AF36E3" w:rsidRDefault="00AF36E3" w:rsidP="009268A8">
            <w:pPr>
              <w:pStyle w:val="Tablehangingindent1"/>
              <w:spacing w:before="80" w:after="80" w:line="240" w:lineRule="auto"/>
              <w:ind w:left="0" w:firstLine="0"/>
            </w:pPr>
            <w:r>
              <w:t xml:space="preserve">Computer </w:t>
            </w:r>
          </w:p>
          <w:p w:rsidR="00AF36E3" w:rsidRPr="006E3FEB" w:rsidRDefault="00AF36E3" w:rsidP="009268A8">
            <w:pPr>
              <w:pStyle w:val="TableText"/>
              <w:spacing w:before="80" w:after="80" w:line="240" w:lineRule="auto"/>
            </w:pPr>
            <w:r>
              <w:t>Projector</w:t>
            </w:r>
          </w:p>
        </w:tc>
      </w:tr>
      <w:tr w:rsidR="00AF36E3" w:rsidTr="009268A8">
        <w:tc>
          <w:tcPr>
            <w:tcW w:w="959" w:type="dxa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0min’s</w:t>
            </w:r>
          </w:p>
        </w:tc>
        <w:tc>
          <w:tcPr>
            <w:tcW w:w="1417" w:type="dxa"/>
            <w:gridSpan w:val="3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rPr>
                <w:b/>
              </w:rPr>
            </w:pPr>
            <w:r w:rsidRPr="00501E37">
              <w:rPr>
                <w:b/>
              </w:rPr>
              <w:t>Assess</w:t>
            </w:r>
          </w:p>
        </w:tc>
        <w:tc>
          <w:tcPr>
            <w:tcW w:w="4678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Not at this stage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hangingindent1"/>
              <w:spacing w:before="80" w:after="80" w:line="240" w:lineRule="auto"/>
            </w:pPr>
            <w:r>
              <w:t>n/a</w:t>
            </w:r>
          </w:p>
        </w:tc>
      </w:tr>
      <w:tr w:rsidR="00AF36E3" w:rsidRPr="00564286" w:rsidTr="009268A8">
        <w:tc>
          <w:tcPr>
            <w:tcW w:w="8720" w:type="dxa"/>
            <w:gridSpan w:val="8"/>
            <w:shd w:val="clear" w:color="auto" w:fill="244061"/>
          </w:tcPr>
          <w:p w:rsidR="00AF36E3" w:rsidRPr="00501E37" w:rsidRDefault="00AF36E3" w:rsidP="009268A8">
            <w:pPr>
              <w:pStyle w:val="Tablehangingindent1"/>
              <w:spacing w:before="80" w:after="80" w:line="240" w:lineRule="auto"/>
              <w:rPr>
                <w:b/>
                <w:color w:val="FFFFFF"/>
              </w:rPr>
            </w:pPr>
            <w:r w:rsidRPr="00501E37">
              <w:rPr>
                <w:b/>
                <w:color w:val="FFFFFF"/>
              </w:rPr>
              <w:t>CONCLUSION</w:t>
            </w:r>
          </w:p>
        </w:tc>
      </w:tr>
      <w:tr w:rsidR="00AF36E3" w:rsidTr="009268A8">
        <w:tc>
          <w:tcPr>
            <w:tcW w:w="959" w:type="dxa"/>
            <w:vMerge w:val="restart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2min’s</w:t>
            </w: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O</w:t>
            </w:r>
          </w:p>
        </w:tc>
        <w:tc>
          <w:tcPr>
            <w:tcW w:w="5670" w:type="dxa"/>
            <w:gridSpan w:val="4"/>
          </w:tcPr>
          <w:p w:rsidR="00AF36E3" w:rsidRDefault="00AF36E3" w:rsidP="009268A8">
            <w:pPr>
              <w:pStyle w:val="Tablehangingindent1"/>
              <w:spacing w:before="80" w:after="80" w:line="240" w:lineRule="auto"/>
            </w:pPr>
            <w:r>
              <w:t>At the end of the season we will revisit the outcomes by doing a group activity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White Board</w:t>
            </w:r>
          </w:p>
          <w:p w:rsidR="00AF36E3" w:rsidRDefault="00AF36E3" w:rsidP="009268A8">
            <w:pPr>
              <w:pStyle w:val="Tablehangingindent1"/>
              <w:spacing w:before="80" w:after="80" w:line="240" w:lineRule="auto"/>
            </w:pPr>
            <w:r>
              <w:t>Hand-out’s</w:t>
            </w:r>
          </w:p>
        </w:tc>
      </w:tr>
      <w:tr w:rsidR="00AF36E3" w:rsidTr="009268A8">
        <w:tc>
          <w:tcPr>
            <w:tcW w:w="959" w:type="dxa"/>
            <w:vMerge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F</w:t>
            </w:r>
          </w:p>
        </w:tc>
        <w:tc>
          <w:tcPr>
            <w:tcW w:w="5670" w:type="dxa"/>
            <w:gridSpan w:val="4"/>
          </w:tcPr>
          <w:p w:rsidR="00AF36E3" w:rsidRPr="006E3FEB" w:rsidRDefault="00AF36E3" w:rsidP="009268A8">
            <w:pPr>
              <w:pStyle w:val="Tablehangingindent1"/>
              <w:spacing w:before="80" w:after="80" w:line="240" w:lineRule="auto"/>
            </w:pPr>
            <w:r>
              <w:t>Feedback sheets will be provided at the very end of the season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hangingindent1"/>
              <w:spacing w:before="80" w:after="80" w:line="240" w:lineRule="auto"/>
            </w:pPr>
            <w:r>
              <w:t>Hand-out’s</w:t>
            </w:r>
          </w:p>
        </w:tc>
      </w:tr>
      <w:tr w:rsidR="00AF36E3" w:rsidTr="009268A8">
        <w:tc>
          <w:tcPr>
            <w:tcW w:w="959" w:type="dxa"/>
            <w:vMerge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</w:p>
        </w:tc>
        <w:tc>
          <w:tcPr>
            <w:tcW w:w="425" w:type="dxa"/>
            <w:shd w:val="clear" w:color="auto" w:fill="D9D9D9"/>
          </w:tcPr>
          <w:p w:rsidR="00AF36E3" w:rsidRPr="00501E37" w:rsidRDefault="00AF36E3" w:rsidP="009268A8">
            <w:pPr>
              <w:pStyle w:val="TableText"/>
              <w:spacing w:before="80" w:after="80" w:line="240" w:lineRule="auto"/>
              <w:jc w:val="center"/>
              <w:rPr>
                <w:b/>
              </w:rPr>
            </w:pPr>
            <w:r w:rsidRPr="00501E37">
              <w:rPr>
                <w:b/>
              </w:rPr>
              <w:t>F</w:t>
            </w:r>
          </w:p>
        </w:tc>
        <w:tc>
          <w:tcPr>
            <w:tcW w:w="5670" w:type="dxa"/>
            <w:gridSpan w:val="4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Will continue on to “The governing bodies”, “investment life cycle of superannuation” and “Investments”</w:t>
            </w:r>
          </w:p>
        </w:tc>
        <w:tc>
          <w:tcPr>
            <w:tcW w:w="1666" w:type="dxa"/>
            <w:gridSpan w:val="2"/>
          </w:tcPr>
          <w:p w:rsidR="00AF36E3" w:rsidRDefault="00AF36E3" w:rsidP="009268A8">
            <w:pPr>
              <w:pStyle w:val="TableText"/>
              <w:spacing w:before="80" w:after="80" w:line="240" w:lineRule="auto"/>
            </w:pPr>
            <w:r>
              <w:t>n/a</w:t>
            </w:r>
          </w:p>
        </w:tc>
      </w:tr>
    </w:tbl>
    <w:p w:rsidR="00AF36E3" w:rsidRDefault="00AF36E3" w:rsidP="00470E27">
      <w:pPr>
        <w:pStyle w:val="TableorFigureTitle"/>
        <w:jc w:val="center"/>
        <w:rPr>
          <w:color w:val="808080"/>
        </w:rPr>
      </w:pPr>
    </w:p>
    <w:p w:rsidR="00AF36E3" w:rsidRDefault="00AF36E3" w:rsidP="00470E27"/>
    <w:sectPr w:rsidR="00AF36E3" w:rsidSect="0081366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70E27"/>
    <w:rsid w:val="000A222D"/>
    <w:rsid w:val="002135D5"/>
    <w:rsid w:val="002C7A5B"/>
    <w:rsid w:val="0039477F"/>
    <w:rsid w:val="00470E27"/>
    <w:rsid w:val="004D2E8D"/>
    <w:rsid w:val="00501E37"/>
    <w:rsid w:val="00564286"/>
    <w:rsid w:val="006E3FEB"/>
    <w:rsid w:val="0075215F"/>
    <w:rsid w:val="007C1BF5"/>
    <w:rsid w:val="00813664"/>
    <w:rsid w:val="0088515F"/>
    <w:rsid w:val="008A16EC"/>
    <w:rsid w:val="008C3421"/>
    <w:rsid w:val="009268A8"/>
    <w:rsid w:val="00A3093C"/>
    <w:rsid w:val="00A57F76"/>
    <w:rsid w:val="00AB10F9"/>
    <w:rsid w:val="00AC7F69"/>
    <w:rsid w:val="00AF36E3"/>
    <w:rsid w:val="00CA008F"/>
    <w:rsid w:val="00EF5F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70E27"/>
    <w:pPr>
      <w:spacing w:before="120" w:after="120" w:line="264" w:lineRule="auto"/>
    </w:pPr>
    <w:rPr>
      <w:rFonts w:ascii="Century Gothic" w:eastAsia="Times New Roman" w:hAnsi="Century Gothic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70E27"/>
    <w:pPr>
      <w:keepNext/>
      <w:pBdr>
        <w:bottom w:val="single" w:sz="6" w:space="1" w:color="auto"/>
      </w:pBdr>
      <w:spacing w:before="0" w:after="480" w:line="240" w:lineRule="auto"/>
      <w:ind w:left="-397"/>
      <w:outlineLvl w:val="1"/>
    </w:pPr>
    <w:rPr>
      <w:rFonts w:ascii="Arial Narrow" w:hAnsi="Arial Narrow" w:cs="Arial"/>
      <w:b/>
      <w:bCs/>
      <w:iCs/>
      <w:sz w:val="44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70E27"/>
    <w:rPr>
      <w:rFonts w:ascii="Arial Narrow" w:hAnsi="Arial Narrow" w:cs="Arial"/>
      <w:b/>
      <w:bCs/>
      <w:iCs/>
      <w:sz w:val="28"/>
      <w:szCs w:val="28"/>
      <w:lang w:eastAsia="en-AU"/>
    </w:rPr>
  </w:style>
  <w:style w:type="paragraph" w:customStyle="1" w:styleId="TableHeadReverse">
    <w:name w:val="Table Head Reverse"/>
    <w:basedOn w:val="Normal"/>
    <w:uiPriority w:val="99"/>
    <w:rsid w:val="00470E27"/>
    <w:pPr>
      <w:spacing w:before="60" w:after="60" w:line="288" w:lineRule="auto"/>
    </w:pPr>
    <w:rPr>
      <w:rFonts w:ascii="Arial Narrow" w:hAnsi="Arial Narrow"/>
      <w:b/>
      <w:color w:val="FFFFFF"/>
      <w:szCs w:val="20"/>
      <w:lang w:val="en-GB" w:eastAsia="en-US"/>
    </w:rPr>
  </w:style>
  <w:style w:type="paragraph" w:customStyle="1" w:styleId="TableText">
    <w:name w:val="Table Text"/>
    <w:aliases w:val="tt"/>
    <w:basedOn w:val="Normal"/>
    <w:uiPriority w:val="99"/>
    <w:rsid w:val="00470E27"/>
    <w:rPr>
      <w:rFonts w:ascii="Arial Narrow" w:hAnsi="Arial Narrow"/>
      <w:szCs w:val="20"/>
      <w:lang w:val="en-GB" w:eastAsia="en-US"/>
    </w:rPr>
  </w:style>
  <w:style w:type="paragraph" w:customStyle="1" w:styleId="TableorFigureTitle">
    <w:name w:val="Table or Figure Title"/>
    <w:link w:val="TableorFigureTitleChar"/>
    <w:uiPriority w:val="99"/>
    <w:rsid w:val="00470E27"/>
    <w:pPr>
      <w:keepNext/>
      <w:spacing w:before="120" w:after="120"/>
    </w:pPr>
    <w:rPr>
      <w:rFonts w:ascii="Arial Narrow" w:eastAsia="Times New Roman" w:hAnsi="Arial Narrow"/>
      <w:b/>
      <w:noProof/>
      <w:sz w:val="24"/>
    </w:rPr>
  </w:style>
  <w:style w:type="character" w:customStyle="1" w:styleId="TableorFigureTitleChar">
    <w:name w:val="Table or Figure Title Char"/>
    <w:link w:val="TableorFigureTitle"/>
    <w:uiPriority w:val="99"/>
    <w:locked/>
    <w:rsid w:val="00470E27"/>
    <w:rPr>
      <w:rFonts w:ascii="Arial Narrow" w:hAnsi="Arial Narrow"/>
      <w:b/>
      <w:noProof/>
      <w:sz w:val="22"/>
    </w:rPr>
  </w:style>
  <w:style w:type="character" w:styleId="Hyperlink">
    <w:name w:val="Hyperlink"/>
    <w:basedOn w:val="DefaultParagraphFont"/>
    <w:uiPriority w:val="99"/>
    <w:rsid w:val="00470E27"/>
    <w:rPr>
      <w:rFonts w:cs="Times New Roman"/>
      <w:color w:val="0000FF"/>
      <w:u w:val="single"/>
    </w:rPr>
  </w:style>
  <w:style w:type="paragraph" w:customStyle="1" w:styleId="Tablehangingindent1">
    <w:name w:val="Table hanging indent 1"/>
    <w:basedOn w:val="TableText"/>
    <w:uiPriority w:val="99"/>
    <w:rsid w:val="00470E27"/>
    <w:pPr>
      <w:ind w:left="340" w:hanging="340"/>
    </w:pPr>
  </w:style>
  <w:style w:type="character" w:customStyle="1" w:styleId="accessibilityonly">
    <w:name w:val="accessibilityonly"/>
    <w:basedOn w:val="DefaultParagraphFont"/>
    <w:uiPriority w:val="99"/>
    <w:rsid w:val="00470E27"/>
    <w:rPr>
      <w:rFonts w:cs="Times New Roman"/>
    </w:rPr>
  </w:style>
  <w:style w:type="character" w:styleId="HTMLCite">
    <w:name w:val="HTML Cite"/>
    <w:basedOn w:val="DefaultParagraphFont"/>
    <w:uiPriority w:val="99"/>
    <w:semiHidden/>
    <w:rsid w:val="00470E27"/>
    <w:rPr>
      <w:rFonts w:cs="Times New Roman"/>
      <w:color w:val="009933"/>
    </w:rPr>
  </w:style>
  <w:style w:type="character" w:styleId="FollowedHyperlink">
    <w:name w:val="FollowedHyperlink"/>
    <w:basedOn w:val="DefaultParagraphFont"/>
    <w:uiPriority w:val="99"/>
    <w:semiHidden/>
    <w:rsid w:val="007C1BF5"/>
    <w:rPr>
      <w:rFonts w:cs="Times New Roman"/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sic.gov.au/asic/asic.nsf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sct.gov.au/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ato.gov.au/super/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apra.gov.au/Super/Pages/superannuation-legislation.aspx" TargetMode="External"/><Relationship Id="rId10" Type="http://schemas.openxmlformats.org/officeDocument/2006/relationships/hyperlink" Target="http://www.comlaw.gov.au/Details/C2012C00410" TargetMode="External"/><Relationship Id="rId4" Type="http://schemas.openxmlformats.org/officeDocument/2006/relationships/hyperlink" Target="http://training.gov.au/Training/Details/FNSFLT204A" TargetMode="External"/><Relationship Id="rId9" Type="http://schemas.openxmlformats.org/officeDocument/2006/relationships/hyperlink" Target="https://www.moneysmart.gov.au/superannuation-and-retirement/how-super-works/super-investment-option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129</TotalTime>
  <Pages>2</Pages>
  <Words>432</Words>
  <Characters>2469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Cassandra Dunning</dc:creator>
  <cp:keywords/>
  <dc:description/>
  <cp:lastModifiedBy>Cassie Dunning</cp:lastModifiedBy>
  <cp:revision>7</cp:revision>
  <dcterms:created xsi:type="dcterms:W3CDTF">2012-05-20T05:23:00Z</dcterms:created>
  <dcterms:modified xsi:type="dcterms:W3CDTF">2012-05-21T10:55:00Z</dcterms:modified>
</cp:coreProperties>
</file>